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rFonts w:ascii="Liberation Sans" w:hAnsi="Liberation Sans" w:eastAsia="Liberation Sans" w:cs="Liberation Sans"/>
          <w:b/>
          <w:color w:val="B89248"/>
          <w:sz w:val="22"/>
        </w:rPr>
        <w:t>THE FAIR WAY</w:t>
      </w:r>
    </w:p>
    <w:p>
      <w:pPr>
        <w:pStyle w:val="Title"/>
      </w:pPr>
      <w:r>
        <w:rPr>
          <w:rFonts w:ascii="Liberation Sans" w:hAnsi="Liberation Sans" w:eastAsia="Liberation Sans" w:cs="Liberation Sans"/>
        </w:rPr>
        <w:t>Privacy Notice</w:t>
      </w:r>
    </w:p>
    <w:p>
      <w:pPr>
        <w:spacing w:after="360"/>
      </w:pPr>
      <w:r>
        <w:rPr>
          <w:rFonts w:ascii="Liberation Sans" w:hAnsi="Liberation Sans" w:eastAsia="Liberation Sans" w:cs="Liberation Sans"/>
          <w:color w:val="56606E"/>
          <w:sz w:val="28"/>
        </w:rPr>
        <w:t>How The Fair Way collects, uses, stores, shares and protects your personal information.</w:t>
      </w:r>
    </w:p>
    <w:p>
      <w:pPr>
        <w:spacing w:before="40" w:after="160"/>
        <w:pBdr>
          <w:bottom w:val="single" w:sz="10" w:space="1" w:color="B89248"/>
        </w:pBdr>
      </w:pPr>
    </w:p>
    <w:tbl>
      <w:tblPr>
        <w:tblW w:type="auto" w:w="0"/>
        <w:jc w:val="left"/>
        <w:tblLayout w:type="fixed"/>
        <w:tblLook w:firstColumn="1" w:firstRow="1" w:lastColumn="0" w:lastRow="0" w:noHBand="0" w:noVBand="1" w:val="04A0"/>
      </w:tblPr>
      <w:tblGrid>
        <w:gridCol w:w="4896"/>
        <w:gridCol w:w="4896"/>
      </w:tblGrid>
      <w:tr>
        <w:tc>
          <w:tcPr>
            <w:tcW w:type="dxa" w:w="4896"/>
            <w:tcMar>
              <w:top w:w="120" w:type="dxa"/>
              <w:start w:w="140" w:type="dxa"/>
              <w:bottom w:w="120" w:type="dxa"/>
              <w:end w:w="140" w:type="dxa"/>
            </w:tcMar>
            <w:shd w:fill="F4F5F7"/>
          </w:tcPr>
          <w:p>
            <w:r>
              <w:rPr>
                <w:rFonts w:ascii="Liberation Sans" w:hAnsi="Liberation Sans" w:eastAsia="Liberation Sans" w:cs="Liberation Sans"/>
                <w:b/>
              </w:rPr>
              <w:t>Business</w:t>
            </w:r>
          </w:p>
        </w:tc>
        <w:tc>
          <w:tcPr>
            <w:tcW w:type="dxa" w:w="4896"/>
            <w:tcMar>
              <w:top w:w="120" w:type="dxa"/>
              <w:start w:w="140" w:type="dxa"/>
              <w:bottom w:w="120" w:type="dxa"/>
              <w:end w:w="140" w:type="dxa"/>
            </w:tcMar>
            <w:shd w:fill="F4F5F7"/>
          </w:tcPr>
          <w:p>
            <w:r>
              <w:rPr>
                <w:rFonts w:ascii="Liberation Sans" w:hAnsi="Liberation Sans" w:eastAsia="Liberation Sans" w:cs="Liberation Sans"/>
              </w:rPr>
              <w:t>The Fair Way</w:t>
            </w:r>
          </w:p>
        </w:tc>
      </w:tr>
      <w:tr>
        <w:tc>
          <w:tcPr>
            <w:tcW w:type="dxa" w:w="4896"/>
            <w:tcMar>
              <w:top w:w="120" w:type="dxa"/>
              <w:start w:w="140" w:type="dxa"/>
              <w:bottom w:w="120" w:type="dxa"/>
              <w:end w:w="140" w:type="dxa"/>
            </w:tcMar>
          </w:tcPr>
          <w:p>
            <w:r>
              <w:rPr>
                <w:rFonts w:ascii="Liberation Sans" w:hAnsi="Liberation Sans" w:eastAsia="Liberation Sans" w:cs="Liberation Sans"/>
                <w:b/>
              </w:rPr>
              <w:t>Data controller</w:t>
            </w:r>
          </w:p>
        </w:tc>
        <w:tc>
          <w:tcPr>
            <w:tcW w:type="dxa" w:w="4896"/>
            <w:tcMar>
              <w:top w:w="120" w:type="dxa"/>
              <w:start w:w="140" w:type="dxa"/>
              <w:bottom w:w="120" w:type="dxa"/>
              <w:end w:w="140" w:type="dxa"/>
            </w:tcMar>
          </w:tcPr>
          <w:p>
            <w:r>
              <w:rPr>
                <w:rFonts w:ascii="Liberation Sans" w:hAnsi="Liberation Sans" w:eastAsia="Liberation Sans" w:cs="Liberation Sans"/>
              </w:rPr>
              <w:t>Sara Biddle trading as The Fair Way</w:t>
            </w:r>
          </w:p>
        </w:tc>
      </w:tr>
      <w:tr>
        <w:tc>
          <w:tcPr>
            <w:tcW w:type="dxa" w:w="4896"/>
            <w:tcMar>
              <w:top w:w="120" w:type="dxa"/>
              <w:start w:w="140" w:type="dxa"/>
              <w:bottom w:w="120" w:type="dxa"/>
              <w:end w:w="140" w:type="dxa"/>
            </w:tcMar>
            <w:shd w:fill="F4F5F7"/>
          </w:tcPr>
          <w:p>
            <w:r>
              <w:rPr>
                <w:rFonts w:ascii="Liberation Sans" w:hAnsi="Liberation Sans" w:eastAsia="Liberation Sans" w:cs="Liberation Sans"/>
                <w:b/>
              </w:rPr>
              <w:t>Version</w:t>
            </w:r>
          </w:p>
        </w:tc>
        <w:tc>
          <w:tcPr>
            <w:tcW w:type="dxa" w:w="4896"/>
            <w:tcMar>
              <w:top w:w="120" w:type="dxa"/>
              <w:start w:w="140" w:type="dxa"/>
              <w:bottom w:w="120" w:type="dxa"/>
              <w:end w:w="140" w:type="dxa"/>
            </w:tcMar>
            <w:shd w:fill="F4F5F7"/>
          </w:tcPr>
          <w:p>
            <w:r>
              <w:rPr>
                <w:rFonts w:ascii="Liberation Sans" w:hAnsi="Liberation Sans" w:eastAsia="Liberation Sans" w:cs="Liberation Sans"/>
              </w:rPr>
              <w:t>1.0</w:t>
            </w:r>
          </w:p>
        </w:tc>
      </w:tr>
      <w:tr>
        <w:tc>
          <w:tcPr>
            <w:tcW w:type="dxa" w:w="4896"/>
            <w:tcMar>
              <w:top w:w="120" w:type="dxa"/>
              <w:start w:w="140" w:type="dxa"/>
              <w:bottom w:w="120" w:type="dxa"/>
              <w:end w:w="140" w:type="dxa"/>
            </w:tcMar>
          </w:tcPr>
          <w:p>
            <w:r>
              <w:rPr>
                <w:rFonts w:ascii="Liberation Sans" w:hAnsi="Liberation Sans" w:eastAsia="Liberation Sans" w:cs="Liberation Sans"/>
                <w:b/>
              </w:rPr>
              <w:t>Effective date</w:t>
            </w:r>
          </w:p>
        </w:tc>
        <w:tc>
          <w:tcPr>
            <w:tcW w:type="dxa" w:w="4896"/>
            <w:tcMar>
              <w:top w:w="120" w:type="dxa"/>
              <w:start w:w="140" w:type="dxa"/>
              <w:bottom w:w="120" w:type="dxa"/>
              <w:end w:w="140" w:type="dxa"/>
            </w:tcMar>
          </w:tcPr>
          <w:p>
            <w:r>
              <w:rPr>
                <w:rFonts w:ascii="Liberation Sans" w:hAnsi="Liberation Sans" w:eastAsia="Liberation Sans" w:cs="Liberation Sans"/>
              </w:rPr>
              <w:t>1 October 2026</w:t>
            </w:r>
          </w:p>
        </w:tc>
      </w:tr>
    </w:tbl>
    <w:p/>
    <w:tbl>
      <w:tblPr>
        <w:tblW w:type="auto" w:w="0"/>
        <w:jc w:val="center"/>
        <w:tblLook w:firstColumn="1" w:firstRow="1" w:lastColumn="0" w:lastRow="0" w:noHBand="0" w:noVBand="1" w:val="04A0"/>
      </w:tblPr>
      <w:tblGrid>
        <w:gridCol w:w="9792"/>
      </w:tblGrid>
      <w:tr>
        <w:tc>
          <w:tcPr>
            <w:tcW w:type="dxa" w:w="9792"/>
            <w:shd w:fill="F7F3EA"/>
            <w:tcMar>
              <w:top w:w="170" w:type="dxa"/>
              <w:start w:w="190" w:type="dxa"/>
              <w:bottom w:w="170" w:type="dxa"/>
              <w:end w:w="190" w:type="dxa"/>
            </w:tcMar>
          </w:tcPr>
          <w:p>
            <w:pPr>
              <w:spacing w:after="80"/>
            </w:pPr>
            <w:r>
              <w:rPr>
                <w:rFonts w:ascii="Liberation Sans" w:hAnsi="Liberation Sans" w:eastAsia="Liberation Sans" w:cs="Liberation Sans"/>
                <w:b/>
                <w:color w:val="1F2A37"/>
                <w:sz w:val="21"/>
              </w:rPr>
              <w:t>Our approach</w:t>
            </w:r>
          </w:p>
          <w:p>
            <w:pPr>
              <w:spacing w:after="0"/>
            </w:pPr>
            <w:r>
              <w:rPr>
                <w:rFonts w:ascii="Liberation Sans" w:hAnsi="Liberation Sans" w:eastAsia="Liberation Sans" w:cs="Liberation Sans"/>
              </w:rPr>
              <w:t>People often come to The Fair Way at a difficult or uncertain point in their working life. You may therefore need to share personal, confidential and sometimes sensitive information. I take the protection of that information seriously.</w:t>
            </w:r>
          </w:p>
        </w:tc>
      </w:tr>
    </w:tbl>
    <w:p>
      <w:r>
        <w:rPr>
          <w:rFonts w:ascii="Liberation Sans" w:hAnsi="Liberation Sans" w:eastAsia="Liberation Sans" w:cs="Liberation Sans"/>
        </w:rPr>
        <w:br w:type="page"/>
      </w:r>
    </w:p>
    <w:p>
      <w:pPr>
        <w:pStyle w:val="Heading1"/>
      </w:pPr>
      <w:r>
        <w:rPr>
          <w:rFonts w:ascii="Liberation Sans" w:hAnsi="Liberation Sans" w:eastAsia="Liberation Sans" w:cs="Liberation Sans"/>
        </w:rPr>
        <w:t>1. Who is responsible for your information?</w:t>
      </w:r>
    </w:p>
    <w:p>
      <w:r>
        <w:rPr>
          <w:rFonts w:ascii="Liberation Sans" w:hAnsi="Liberation Sans" w:eastAsia="Liberation Sans" w:cs="Liberation Sans"/>
        </w:rPr>
        <w:t>The Fair Way is operated by Sara Biddle, trading as The Fair Way, as a sole trader.</w:t>
      </w:r>
    </w:p>
    <w:p>
      <w:r>
        <w:rPr>
          <w:rFonts w:ascii="Liberation Sans" w:hAnsi="Liberation Sans" w:eastAsia="Liberation Sans" w:cs="Liberation Sans"/>
        </w:rPr>
        <w:t>For data protection purposes, I am the data controller for personal information processed by The Fair Way.</w:t>
      </w:r>
    </w:p>
    <w:p>
      <w:r>
        <w:rPr>
          <w:rFonts w:ascii="Liberation Sans" w:hAnsi="Liberation Sans" w:eastAsia="Liberation Sans" w:cs="Liberation Sans"/>
        </w:rPr>
        <w:t>If you have questions about this notice or how your information is handled, contact Sara Biddle at sara@sarabiddle.com.</w:t>
      </w:r>
    </w:p>
    <w:p>
      <w:pPr>
        <w:pStyle w:val="Heading1"/>
      </w:pPr>
      <w:r>
        <w:rPr>
          <w:rFonts w:ascii="Liberation Sans" w:hAnsi="Liberation Sans" w:eastAsia="Liberation Sans" w:cs="Liberation Sans"/>
        </w:rPr>
        <w:t>2. What information might I collect?</w:t>
      </w:r>
    </w:p>
    <w:p>
      <w:r>
        <w:rPr>
          <w:rFonts w:ascii="Liberation Sans" w:hAnsi="Liberation Sans" w:eastAsia="Liberation Sans" w:cs="Liberation Sans"/>
        </w:rPr>
        <w:t>The information I collect depends on why you contact me and the support you require.</w:t>
      </w:r>
    </w:p>
    <w:p>
      <w:pPr>
        <w:pStyle w:val="ListBullet"/>
        <w:spacing w:after="60"/>
        <w:ind w:left="259" w:hanging="173"/>
      </w:pPr>
      <w:r>
        <w:rPr>
          <w:rFonts w:ascii="Liberation Sans" w:hAnsi="Liberation Sans" w:eastAsia="Liberation Sans" w:cs="Liberation Sans"/>
        </w:rPr>
        <w:t>your name and contact details;</w:t>
      </w:r>
    </w:p>
    <w:p>
      <w:pPr>
        <w:pStyle w:val="ListBullet"/>
        <w:spacing w:after="60"/>
        <w:ind w:left="259" w:hanging="173"/>
      </w:pPr>
      <w:r>
        <w:rPr>
          <w:rFonts w:ascii="Liberation Sans" w:hAnsi="Liberation Sans" w:eastAsia="Liberation Sans" w:cs="Liberation Sans"/>
        </w:rPr>
        <w:t>your employer, role and employment history;</w:t>
      </w:r>
    </w:p>
    <w:p>
      <w:pPr>
        <w:pStyle w:val="ListBullet"/>
        <w:spacing w:after="60"/>
        <w:ind w:left="259" w:hanging="173"/>
      </w:pPr>
      <w:r>
        <w:rPr>
          <w:rFonts w:ascii="Liberation Sans" w:hAnsi="Liberation Sans" w:eastAsia="Liberation Sans" w:cs="Liberation Sans"/>
        </w:rPr>
        <w:t>salary, benefits and other financial information relevant to your employment;</w:t>
      </w:r>
    </w:p>
    <w:p>
      <w:pPr>
        <w:pStyle w:val="ListBullet"/>
        <w:spacing w:after="60"/>
        <w:ind w:left="259" w:hanging="173"/>
      </w:pPr>
      <w:r>
        <w:rPr>
          <w:rFonts w:ascii="Liberation Sans" w:hAnsi="Liberation Sans" w:eastAsia="Liberation Sans" w:cs="Liberation Sans"/>
        </w:rPr>
        <w:t>employment contracts and terms;</w:t>
      </w:r>
    </w:p>
    <w:p>
      <w:pPr>
        <w:pStyle w:val="ListBullet"/>
        <w:spacing w:after="60"/>
        <w:ind w:left="259" w:hanging="173"/>
      </w:pPr>
      <w:r>
        <w:rPr>
          <w:rFonts w:ascii="Liberation Sans" w:hAnsi="Liberation Sans" w:eastAsia="Liberation Sans" w:cs="Liberation Sans"/>
        </w:rPr>
        <w:t>appraisal, performance and capability documents;</w:t>
      </w:r>
    </w:p>
    <w:p>
      <w:pPr>
        <w:pStyle w:val="ListBullet"/>
        <w:spacing w:after="60"/>
        <w:ind w:left="259" w:hanging="173"/>
      </w:pPr>
      <w:r>
        <w:rPr>
          <w:rFonts w:ascii="Liberation Sans" w:hAnsi="Liberation Sans" w:eastAsia="Liberation Sans" w:cs="Liberation Sans"/>
        </w:rPr>
        <w:t>redundancy, disciplinary or grievance documentation;</w:t>
      </w:r>
    </w:p>
    <w:p>
      <w:pPr>
        <w:pStyle w:val="ListBullet"/>
        <w:spacing w:after="60"/>
        <w:ind w:left="259" w:hanging="173"/>
      </w:pPr>
      <w:r>
        <w:rPr>
          <w:rFonts w:ascii="Liberation Sans" w:hAnsi="Liberation Sans" w:eastAsia="Liberation Sans" w:cs="Liberation Sans"/>
        </w:rPr>
        <w:t>settlement proposals and agreements;</w:t>
      </w:r>
    </w:p>
    <w:p>
      <w:pPr>
        <w:pStyle w:val="ListBullet"/>
        <w:spacing w:after="60"/>
        <w:ind w:left="259" w:hanging="173"/>
      </w:pPr>
      <w:r>
        <w:rPr>
          <w:rFonts w:ascii="Liberation Sans" w:hAnsi="Liberation Sans" w:eastAsia="Liberation Sans" w:cs="Liberation Sans"/>
        </w:rPr>
        <w:t>correspondence with your employer, HR, managers, colleagues or advisers;</w:t>
      </w:r>
    </w:p>
    <w:p>
      <w:pPr>
        <w:pStyle w:val="ListBullet"/>
        <w:spacing w:after="60"/>
        <w:ind w:left="259" w:hanging="173"/>
      </w:pPr>
      <w:r>
        <w:rPr>
          <w:rFonts w:ascii="Liberation Sans" w:hAnsi="Liberation Sans" w:eastAsia="Liberation Sans" w:cs="Liberation Sans"/>
        </w:rPr>
        <w:t>meeting notes and records;</w:t>
      </w:r>
    </w:p>
    <w:p>
      <w:pPr>
        <w:pStyle w:val="ListBullet"/>
        <w:spacing w:after="60"/>
        <w:ind w:left="259" w:hanging="173"/>
      </w:pPr>
      <w:r>
        <w:rPr>
          <w:rFonts w:ascii="Liberation Sans" w:hAnsi="Liberation Sans" w:eastAsia="Liberation Sans" w:cs="Liberation Sans"/>
        </w:rPr>
        <w:t>information about events or concerns at work;</w:t>
      </w:r>
    </w:p>
    <w:p>
      <w:pPr>
        <w:pStyle w:val="ListBullet"/>
        <w:spacing w:after="60"/>
        <w:ind w:left="259" w:hanging="173"/>
      </w:pPr>
      <w:r>
        <w:rPr>
          <w:rFonts w:ascii="Liberation Sans" w:hAnsi="Liberation Sans" w:eastAsia="Liberation Sans" w:cs="Liberation Sans"/>
        </w:rPr>
        <w:t>documents or evidence you provide in support of your situation;</w:t>
      </w:r>
    </w:p>
    <w:p>
      <w:pPr>
        <w:pStyle w:val="ListBullet"/>
        <w:spacing w:after="60"/>
        <w:ind w:left="259" w:hanging="173"/>
      </w:pPr>
      <w:r>
        <w:rPr>
          <w:rFonts w:ascii="Liberation Sans" w:hAnsi="Liberation Sans" w:eastAsia="Liberation Sans" w:cs="Liberation Sans"/>
        </w:rPr>
        <w:t>information relevant to negotiations or potential employment claims; and</w:t>
      </w:r>
    </w:p>
    <w:p>
      <w:pPr>
        <w:pStyle w:val="ListBullet"/>
        <w:spacing w:after="60"/>
        <w:ind w:left="259" w:hanging="173"/>
      </w:pPr>
      <w:r>
        <w:rPr>
          <w:rFonts w:ascii="Liberation Sans" w:hAnsi="Liberation Sans" w:eastAsia="Liberation Sans" w:cs="Liberation Sans"/>
        </w:rPr>
        <w:t>notes, assessments and documents I create while supporting you.</w:t>
      </w:r>
    </w:p>
    <w:p>
      <w:r>
        <w:rPr>
          <w:rFonts w:ascii="Liberation Sans" w:hAnsi="Liberation Sans" w:eastAsia="Liberation Sans" w:cs="Liberation Sans"/>
        </w:rPr>
        <w:t>Your case documents may also contain information about other people, such as managers, colleagues, witnesses or HR representatives. I ask clients to provide only information that is relevant to the matter I am helping them with.</w:t>
      </w:r>
    </w:p>
    <w:p>
      <w:pPr>
        <w:pStyle w:val="Heading1"/>
      </w:pPr>
      <w:r>
        <w:rPr>
          <w:rFonts w:ascii="Liberation Sans" w:hAnsi="Liberation Sans" w:eastAsia="Liberation Sans" w:cs="Liberation Sans"/>
        </w:rPr>
        <w:t>3. Sensitive information</w:t>
      </w:r>
    </w:p>
    <w:p>
      <w:r>
        <w:rPr>
          <w:rFonts w:ascii="Liberation Sans" w:hAnsi="Liberation Sans" w:eastAsia="Liberation Sans" w:cs="Liberation Sans"/>
        </w:rPr>
        <w:t>Employment situations sometimes involve particularly sensitive information, including health, disability, menopause, racial or ethnic origin, religious or philosophical beliefs, sexual orientation, trade union membership or other information given additional protection under data protection law.</w:t>
      </w:r>
    </w:p>
    <w:p>
      <w:r>
        <w:rPr>
          <w:rFonts w:ascii="Liberation Sans" w:hAnsi="Liberation Sans" w:eastAsia="Liberation Sans" w:cs="Liberation Sans"/>
        </w:rPr>
        <w:t>This is known as special category data.</w:t>
      </w:r>
    </w:p>
    <w:p>
      <w:r>
        <w:rPr>
          <w:rFonts w:ascii="Liberation Sans" w:hAnsi="Liberation Sans" w:eastAsia="Liberation Sans" w:cs="Liberation Sans"/>
        </w:rPr>
        <w:t>I will only use special category information where it is genuinely relevant and necessary for the work I am undertaking and where there is an appropriate legal basis for doing so. Depending on the circumstances, this may include processing necessary for establishing, exercising or defending legal rights or legal claims, or another condition permitted by data protection law.</w:t>
      </w:r>
    </w:p>
    <w:p>
      <w:r>
        <w:rPr>
          <w:rFonts w:ascii="Liberation Sans" w:hAnsi="Liberation Sans" w:eastAsia="Liberation Sans" w:cs="Liberation Sans"/>
        </w:rPr>
        <w:t>I do not ask clients to provide sensitive information simply because it might be useful to have.</w:t>
      </w:r>
    </w:p>
    <w:p>
      <w:pPr>
        <w:pStyle w:val="Heading1"/>
      </w:pPr>
      <w:r>
        <w:rPr>
          <w:rFonts w:ascii="Liberation Sans" w:hAnsi="Liberation Sans" w:eastAsia="Liberation Sans" w:cs="Liberation Sans"/>
        </w:rPr>
        <w:t>4. How do I receive information?</w:t>
      </w:r>
    </w:p>
    <w:p>
      <w:r>
        <w:rPr>
          <w:rFonts w:ascii="Liberation Sans" w:hAnsi="Liberation Sans" w:eastAsia="Liberation Sans" w:cs="Liberation Sans"/>
        </w:rPr>
        <w:t>Most information comes directly from you, for example through the Fair Way website or enquiry form, email, telephone or video calls, meetings, Google Drive, questionnaires or assessment forms, and documents you choose to provide.</w:t>
      </w:r>
    </w:p>
    <w:p>
      <w:r>
        <w:rPr>
          <w:rFonts w:ascii="Liberation Sans" w:hAnsi="Liberation Sans" w:eastAsia="Liberation Sans" w:cs="Liberation Sans"/>
        </w:rPr>
        <w:t>I may also receive information from another person or professional involved in your matter, such as a solicitor, where appropriate. Case documents supplied by you may contain information originally produced by your employer or other third parties.</w:t>
      </w:r>
    </w:p>
    <w:p>
      <w:pPr>
        <w:pStyle w:val="Heading1"/>
      </w:pPr>
      <w:r>
        <w:rPr>
          <w:rFonts w:ascii="Liberation Sans" w:hAnsi="Liberation Sans" w:eastAsia="Liberation Sans" w:cs="Liberation Sans"/>
        </w:rPr>
        <w:t>5. Why do I use your information?</w:t>
      </w:r>
    </w:p>
    <w:p>
      <w:pPr>
        <w:pStyle w:val="ListBullet"/>
        <w:spacing w:after="60"/>
        <w:ind w:left="259" w:hanging="173"/>
      </w:pPr>
      <w:r>
        <w:rPr>
          <w:rFonts w:ascii="Liberation Sans" w:hAnsi="Liberation Sans" w:eastAsia="Liberation Sans" w:cs="Liberation Sans"/>
        </w:rPr>
        <w:t>respond to an enquiry;</w:t>
      </w:r>
    </w:p>
    <w:p>
      <w:pPr>
        <w:pStyle w:val="ListBullet"/>
        <w:spacing w:after="60"/>
        <w:ind w:left="259" w:hanging="173"/>
      </w:pPr>
      <w:r>
        <w:rPr>
          <w:rFonts w:ascii="Liberation Sans" w:hAnsi="Liberation Sans" w:eastAsia="Liberation Sans" w:cs="Liberation Sans"/>
        </w:rPr>
        <w:t>understand your employment situation;</w:t>
      </w:r>
    </w:p>
    <w:p>
      <w:pPr>
        <w:pStyle w:val="ListBullet"/>
        <w:spacing w:after="60"/>
        <w:ind w:left="259" w:hanging="173"/>
      </w:pPr>
      <w:r>
        <w:rPr>
          <w:rFonts w:ascii="Liberation Sans" w:hAnsi="Liberation Sans" w:eastAsia="Liberation Sans" w:cs="Liberation Sans"/>
        </w:rPr>
        <w:t>decide whether and how I can support you;</w:t>
      </w:r>
    </w:p>
    <w:p>
      <w:pPr>
        <w:pStyle w:val="ListBullet"/>
        <w:spacing w:after="60"/>
        <w:ind w:left="259" w:hanging="173"/>
      </w:pPr>
      <w:r>
        <w:rPr>
          <w:rFonts w:ascii="Liberation Sans" w:hAnsi="Liberation Sans" w:eastAsia="Liberation Sans" w:cs="Liberation Sans"/>
        </w:rPr>
        <w:t>provide the service you have asked me to provide;</w:t>
      </w:r>
    </w:p>
    <w:p>
      <w:pPr>
        <w:pStyle w:val="ListBullet"/>
        <w:spacing w:after="60"/>
        <w:ind w:left="259" w:hanging="173"/>
      </w:pPr>
      <w:r>
        <w:rPr>
          <w:rFonts w:ascii="Liberation Sans" w:hAnsi="Liberation Sans" w:eastAsia="Liberation Sans" w:cs="Liberation Sans"/>
        </w:rPr>
        <w:t>review and assess documents;</w:t>
      </w:r>
    </w:p>
    <w:p>
      <w:pPr>
        <w:pStyle w:val="ListBullet"/>
        <w:spacing w:after="60"/>
        <w:ind w:left="259" w:hanging="173"/>
      </w:pPr>
      <w:r>
        <w:rPr>
          <w:rFonts w:ascii="Liberation Sans" w:hAnsi="Liberation Sans" w:eastAsia="Liberation Sans" w:cs="Liberation Sans"/>
        </w:rPr>
        <w:t>prepare advice, recommendations and strategy;</w:t>
      </w:r>
    </w:p>
    <w:p>
      <w:pPr>
        <w:pStyle w:val="ListBullet"/>
        <w:spacing w:after="60"/>
        <w:ind w:left="259" w:hanging="173"/>
      </w:pPr>
      <w:r>
        <w:rPr>
          <w:rFonts w:ascii="Liberation Sans" w:hAnsi="Liberation Sans" w:eastAsia="Liberation Sans" w:cs="Liberation Sans"/>
        </w:rPr>
        <w:t>help you prepare for workplace meetings or processes;</w:t>
      </w:r>
    </w:p>
    <w:p>
      <w:pPr>
        <w:pStyle w:val="ListBullet"/>
        <w:spacing w:after="60"/>
        <w:ind w:left="259" w:hanging="173"/>
      </w:pPr>
      <w:r>
        <w:rPr>
          <w:rFonts w:ascii="Liberation Sans" w:hAnsi="Liberation Sans" w:eastAsia="Liberation Sans" w:cs="Liberation Sans"/>
        </w:rPr>
        <w:t>draft relevant correspondence or documents;</w:t>
      </w:r>
    </w:p>
    <w:p>
      <w:pPr>
        <w:pStyle w:val="ListBullet"/>
        <w:spacing w:after="60"/>
        <w:ind w:left="259" w:hanging="173"/>
      </w:pPr>
      <w:r>
        <w:rPr>
          <w:rFonts w:ascii="Liberation Sans" w:hAnsi="Liberation Sans" w:eastAsia="Liberation Sans" w:cs="Liberation Sans"/>
        </w:rPr>
        <w:t>support negotiations or discussions relating to your employment;</w:t>
      </w:r>
    </w:p>
    <w:p>
      <w:pPr>
        <w:pStyle w:val="ListBullet"/>
        <w:spacing w:after="60"/>
        <w:ind w:left="259" w:hanging="173"/>
      </w:pPr>
      <w:r>
        <w:rPr>
          <w:rFonts w:ascii="Liberation Sans" w:hAnsi="Liberation Sans" w:eastAsia="Liberation Sans" w:cs="Liberation Sans"/>
        </w:rPr>
        <w:t>liaise with a solicitor or other professional adviser where appropriate;</w:t>
      </w:r>
    </w:p>
    <w:p>
      <w:pPr>
        <w:pStyle w:val="ListBullet"/>
        <w:spacing w:after="60"/>
        <w:ind w:left="259" w:hanging="173"/>
      </w:pPr>
      <w:r>
        <w:rPr>
          <w:rFonts w:ascii="Liberation Sans" w:hAnsi="Liberation Sans" w:eastAsia="Liberation Sans" w:cs="Liberation Sans"/>
        </w:rPr>
        <w:t>arrange appointments;</w:t>
      </w:r>
    </w:p>
    <w:p>
      <w:pPr>
        <w:pStyle w:val="ListBullet"/>
        <w:spacing w:after="60"/>
        <w:ind w:left="259" w:hanging="173"/>
      </w:pPr>
      <w:r>
        <w:rPr>
          <w:rFonts w:ascii="Liberation Sans" w:hAnsi="Liberation Sans" w:eastAsia="Liberation Sans" w:cs="Liberation Sans"/>
        </w:rPr>
        <w:t>administer payments and invoices;</w:t>
      </w:r>
    </w:p>
    <w:p>
      <w:pPr>
        <w:pStyle w:val="ListBullet"/>
        <w:spacing w:after="60"/>
        <w:ind w:left="259" w:hanging="173"/>
      </w:pPr>
      <w:r>
        <w:rPr>
          <w:rFonts w:ascii="Liberation Sans" w:hAnsi="Liberation Sans" w:eastAsia="Liberation Sans" w:cs="Liberation Sans"/>
        </w:rPr>
        <w:t>maintain appropriate business and case records;</w:t>
      </w:r>
    </w:p>
    <w:p>
      <w:pPr>
        <w:pStyle w:val="ListBullet"/>
        <w:spacing w:after="60"/>
        <w:ind w:left="259" w:hanging="173"/>
      </w:pPr>
      <w:r>
        <w:rPr>
          <w:rFonts w:ascii="Liberation Sans" w:hAnsi="Liberation Sans" w:eastAsia="Liberation Sans" w:cs="Liberation Sans"/>
        </w:rPr>
        <w:t>respond to complaints or disputes;</w:t>
      </w:r>
    </w:p>
    <w:p>
      <w:pPr>
        <w:pStyle w:val="ListBullet"/>
        <w:spacing w:after="60"/>
        <w:ind w:left="259" w:hanging="173"/>
      </w:pPr>
      <w:r>
        <w:rPr>
          <w:rFonts w:ascii="Liberation Sans" w:hAnsi="Liberation Sans" w:eastAsia="Liberation Sans" w:cs="Liberation Sans"/>
        </w:rPr>
        <w:t>protect my legitimate business and legal interests; and</w:t>
      </w:r>
    </w:p>
    <w:p>
      <w:pPr>
        <w:pStyle w:val="ListBullet"/>
        <w:spacing w:after="60"/>
        <w:ind w:left="259" w:hanging="173"/>
      </w:pPr>
      <w:r>
        <w:rPr>
          <w:rFonts w:ascii="Liberation Sans" w:hAnsi="Liberation Sans" w:eastAsia="Liberation Sans" w:cs="Liberation Sans"/>
        </w:rPr>
        <w:t>comply with legal, regulatory, tax or accounting obligations.</w:t>
      </w:r>
    </w:p>
    <w:p>
      <w:r>
        <w:rPr>
          <w:rFonts w:ascii="Liberation Sans" w:hAnsi="Liberation Sans" w:eastAsia="Liberation Sans" w:cs="Liberation Sans"/>
        </w:rPr>
        <w:t>I will not use information from your employment case for unrelated marketing purposes.</w:t>
      </w:r>
    </w:p>
    <w:p>
      <w:pPr>
        <w:pStyle w:val="Heading1"/>
      </w:pPr>
      <w:r>
        <w:rPr>
          <w:rFonts w:ascii="Liberation Sans" w:hAnsi="Liberation Sans" w:eastAsia="Liberation Sans" w:cs="Liberation Sans"/>
        </w:rPr>
        <w:t>6. What is my lawful basis for using your information?</w:t>
      </w:r>
    </w:p>
    <w:p>
      <w:r>
        <w:rPr>
          <w:rFonts w:ascii="Liberation Sans" w:hAnsi="Liberation Sans" w:eastAsia="Liberation Sans" w:cs="Liberation Sans"/>
        </w:rPr>
        <w:t>The lawful basis depends on what I am doing with the information.</w:t>
      </w:r>
    </w:p>
    <w:p>
      <w:pPr>
        <w:pStyle w:val="Heading2"/>
      </w:pPr>
      <w:r>
        <w:rPr>
          <w:rFonts w:ascii="Liberation Sans" w:hAnsi="Liberation Sans" w:eastAsia="Liberation Sans" w:cs="Liberation Sans"/>
        </w:rPr>
        <w:t>Contract / steps at your request</w:t>
      </w:r>
    </w:p>
    <w:p>
      <w:r>
        <w:rPr>
          <w:rFonts w:ascii="Liberation Sans" w:hAnsi="Liberation Sans" w:eastAsia="Liberation Sans" w:cs="Liberation Sans"/>
        </w:rPr>
        <w:t>For example, when you contact me about potentially working together or when I provide the service you have purchased.</w:t>
      </w:r>
    </w:p>
    <w:p>
      <w:pPr>
        <w:pStyle w:val="Heading2"/>
      </w:pPr>
      <w:r>
        <w:rPr>
          <w:rFonts w:ascii="Liberation Sans" w:hAnsi="Liberation Sans" w:eastAsia="Liberation Sans" w:cs="Liberation Sans"/>
        </w:rPr>
        <w:t>Legitimate interests</w:t>
      </w:r>
    </w:p>
    <w:p>
      <w:r>
        <w:rPr>
          <w:rFonts w:ascii="Liberation Sans" w:hAnsi="Liberation Sans" w:eastAsia="Liberation Sans" w:cs="Liberation Sans"/>
        </w:rPr>
        <w:t>For example, maintaining appropriate business records, managing enquiries, protecting my business and dealing with complaints or potential disputes, provided those interests do not override your rights and interests.</w:t>
      </w:r>
    </w:p>
    <w:p>
      <w:pPr>
        <w:pStyle w:val="Heading2"/>
      </w:pPr>
      <w:r>
        <w:rPr>
          <w:rFonts w:ascii="Liberation Sans" w:hAnsi="Liberation Sans" w:eastAsia="Liberation Sans" w:cs="Liberation Sans"/>
        </w:rPr>
        <w:t>Legal obligation</w:t>
      </w:r>
    </w:p>
    <w:p>
      <w:r>
        <w:rPr>
          <w:rFonts w:ascii="Liberation Sans" w:hAnsi="Liberation Sans" w:eastAsia="Liberation Sans" w:cs="Liberation Sans"/>
        </w:rPr>
        <w:t>For example, where information needs to be retained or disclosed to comply with tax, regulatory or other legal requirements.</w:t>
      </w:r>
    </w:p>
    <w:p>
      <w:r>
        <w:rPr>
          <w:rFonts w:ascii="Liberation Sans" w:hAnsi="Liberation Sans" w:eastAsia="Liberation Sans" w:cs="Liberation Sans"/>
        </w:rPr>
        <w:t>Where special category information is involved, I will also identify an appropriate additional condition for processing that information.</w:t>
      </w:r>
    </w:p>
    <w:p>
      <w:pPr>
        <w:pStyle w:val="Heading1"/>
      </w:pPr>
      <w:r>
        <w:rPr>
          <w:rFonts w:ascii="Liberation Sans" w:hAnsi="Liberation Sans" w:eastAsia="Liberation Sans" w:cs="Liberation Sans"/>
        </w:rPr>
        <w:t>7. How do I store your information?</w:t>
      </w:r>
    </w:p>
    <w:p>
      <w:r>
        <w:rPr>
          <w:rFonts w:ascii="Liberation Sans" w:hAnsi="Liberation Sans" w:eastAsia="Liberation Sans" w:cs="Liberation Sans"/>
        </w:rPr>
        <w:t>The Fair Way primarily uses Google Workspace, including Google Drive and Gmail, to store and manage client information.</w:t>
      </w:r>
    </w:p>
    <w:p>
      <w:r>
        <w:rPr>
          <w:rFonts w:ascii="Liberation Sans" w:hAnsi="Liberation Sans" w:eastAsia="Liberation Sans" w:cs="Liberation Sans"/>
        </w:rPr>
        <w:t>Each client case is managed separately. Where I provide you with a Google Drive upload folder, access is restricted to the people who need it. I do not use publicly accessible 'anyone with the link' sharing for client case folders.</w:t>
      </w:r>
    </w:p>
    <w:p>
      <w:r>
        <w:rPr>
          <w:rFonts w:ascii="Liberation Sans" w:hAnsi="Liberation Sans" w:eastAsia="Liberation Sans" w:cs="Liberation Sans"/>
        </w:rPr>
        <w:t>My internal case analysis, working notes and strategy documents are not routinely shared through your client upload folder.</w:t>
      </w:r>
    </w:p>
    <w:p>
      <w:r>
        <w:rPr>
          <w:rFonts w:ascii="Liberation Sans" w:hAnsi="Liberation Sans" w:eastAsia="Liberation Sans" w:cs="Liberation Sans"/>
        </w:rPr>
        <w:t>I use reasonable technical and organisational safeguards designed to protect your information, including access controls, password protection and two-step verification. I also take steps to minimise unnecessary copies of client documents on devices or in other storage locations.</w:t>
      </w:r>
    </w:p>
    <w:p>
      <w:pPr>
        <w:pStyle w:val="Heading1"/>
      </w:pPr>
      <w:r>
        <w:rPr>
          <w:rFonts w:ascii="Liberation Sans" w:hAnsi="Liberation Sans" w:eastAsia="Liberation Sans" w:cs="Liberation Sans"/>
        </w:rPr>
        <w:t>8. Please take care when sending workplace documents</w:t>
      </w:r>
    </w:p>
    <w:p>
      <w:r>
        <w:rPr>
          <w:rFonts w:ascii="Liberation Sans" w:hAnsi="Liberation Sans" w:eastAsia="Liberation Sans" w:cs="Liberation Sans"/>
        </w:rPr>
        <w:t>If you provide documents belonging to or obtained from your employer, you remain responsible for considering any obligations you have under your employer's confidentiality, IT, information-security or data-handling policies.</w:t>
      </w:r>
    </w:p>
    <w:p>
      <w:r>
        <w:rPr>
          <w:rFonts w:ascii="Liberation Sans" w:hAnsi="Liberation Sans" w:eastAsia="Liberation Sans" w:cs="Liberation Sans"/>
        </w:rPr>
        <w:t>I do not encourage clients to breach those obligations in order to provide information to The Fair Way.</w:t>
      </w:r>
    </w:p>
    <w:p>
      <w:r>
        <w:rPr>
          <w:rFonts w:ascii="Liberation Sans" w:hAnsi="Liberation Sans" w:eastAsia="Liberation Sans" w:cs="Liberation Sans"/>
        </w:rPr>
        <w:t>If you are unsure whether you are permitted to send a particular workplace document outside your employer's systems, please speak to me before doing so.</w:t>
      </w:r>
    </w:p>
    <w:p>
      <w:r>
        <w:rPr>
          <w:rFonts w:ascii="Liberation Sans" w:hAnsi="Liberation Sans" w:eastAsia="Liberation Sans" w:cs="Liberation Sans"/>
        </w:rPr>
        <w:t>Where possible, please avoid sending information about clients, customers, colleagues or other third parties that is not relevant to your case.</w:t>
      </w:r>
    </w:p>
    <w:p>
      <w:pPr>
        <w:pStyle w:val="Heading1"/>
      </w:pPr>
      <w:r>
        <w:rPr>
          <w:rFonts w:ascii="Liberation Sans" w:hAnsi="Liberation Sans" w:eastAsia="Liberation Sans" w:cs="Liberation Sans"/>
        </w:rPr>
        <w:t>9. Who might I share your information with?</w:t>
      </w:r>
    </w:p>
    <w:p>
      <w:r>
        <w:rPr>
          <w:rFonts w:ascii="Liberation Sans" w:hAnsi="Liberation Sans" w:eastAsia="Liberation Sans" w:cs="Liberation Sans"/>
        </w:rPr>
        <w:t>I do not sell your personal information.</w:t>
      </w:r>
    </w:p>
    <w:p>
      <w:r>
        <w:rPr>
          <w:rFonts w:ascii="Liberation Sans" w:hAnsi="Liberation Sans" w:eastAsia="Liberation Sans" w:cs="Liberation Sans"/>
        </w:rPr>
        <w:t>Where necessary and appropriate, information may be shared with an employment solicitor or other professional adviser supporting your matter; service providers that help me operate The Fair Way; professional advisers supporting The Fair Way; or regulators, courts, tribunals, law-enforcement bodies or other authorities where disclosure is legally required or otherwise lawfully permitted.</w:t>
      </w:r>
    </w:p>
    <w:p>
      <w:r>
        <w:rPr>
          <w:rFonts w:ascii="Liberation Sans" w:hAnsi="Liberation Sans" w:eastAsia="Liberation Sans" w:cs="Liberation Sans"/>
        </w:rPr>
        <w:t>Where I propose sharing substantive case information with a solicitor or another professional adviser for the purpose of supporting you, I will normally explain this to you. I will share only information that is reasonably necessary for the purpose.</w:t>
      </w:r>
    </w:p>
    <w:p>
      <w:pPr>
        <w:pStyle w:val="Heading1"/>
      </w:pPr>
      <w:r>
        <w:rPr>
          <w:rFonts w:ascii="Liberation Sans" w:hAnsi="Liberation Sans" w:eastAsia="Liberation Sans" w:cs="Liberation Sans"/>
        </w:rPr>
        <w:t>10. International processing</w:t>
      </w:r>
    </w:p>
    <w:p>
      <w:r>
        <w:rPr>
          <w:rFonts w:ascii="Liberation Sans" w:hAnsi="Liberation Sans" w:eastAsia="Liberation Sans" w:cs="Liberation Sans"/>
        </w:rPr>
        <w:t>Some technology providers used by The Fair Way may process or store information outside the United Kingdom.</w:t>
      </w:r>
    </w:p>
    <w:p>
      <w:r>
        <w:rPr>
          <w:rFonts w:ascii="Liberation Sans" w:hAnsi="Liberation Sans" w:eastAsia="Liberation Sans" w:cs="Liberation Sans"/>
        </w:rPr>
        <w:t>Where personal information is transferred internationally, I take reasonable steps to ensure that an appropriate lawful transfer mechanism or safeguard applies where required under UK data protection law.</w:t>
      </w:r>
    </w:p>
    <w:p>
      <w:pPr>
        <w:pStyle w:val="Heading1"/>
      </w:pPr>
      <w:r>
        <w:rPr>
          <w:rFonts w:ascii="Liberation Sans" w:hAnsi="Liberation Sans" w:eastAsia="Liberation Sans" w:cs="Liberation Sans"/>
        </w:rPr>
        <w:t>11. How long do I keep your information?</w:t>
      </w:r>
    </w:p>
    <w:p>
      <w:r>
        <w:rPr>
          <w:rFonts w:ascii="Liberation Sans" w:hAnsi="Liberation Sans" w:eastAsia="Liberation Sans" w:cs="Liberation Sans"/>
        </w:rPr>
        <w:t>I do not keep personal information indefinitely.</w:t>
      </w:r>
    </w:p>
    <w:p>
      <w:pPr>
        <w:pStyle w:val="Heading2"/>
      </w:pPr>
      <w:r>
        <w:rPr>
          <w:rFonts w:ascii="Liberation Sans" w:hAnsi="Liberation Sans" w:eastAsia="Liberation Sans" w:cs="Liberation Sans"/>
        </w:rPr>
        <w:t>Enquiries that do not become client matters</w:t>
      </w:r>
    </w:p>
    <w:p>
      <w:r>
        <w:rPr>
          <w:rFonts w:ascii="Liberation Sans" w:hAnsi="Liberation Sans" w:eastAsia="Liberation Sans" w:cs="Liberation Sans"/>
        </w:rPr>
        <w:t>Normally up to 12 months, unless there is a reason to keep the information for longer or you ask me to delete information that I do not need to retain.</w:t>
      </w:r>
    </w:p>
    <w:p>
      <w:pPr>
        <w:pStyle w:val="Heading2"/>
      </w:pPr>
      <w:r>
        <w:rPr>
          <w:rFonts w:ascii="Liberation Sans" w:hAnsi="Liberation Sans" w:eastAsia="Liberation Sans" w:cs="Liberation Sans"/>
        </w:rPr>
        <w:t>Client case files</w:t>
      </w:r>
    </w:p>
    <w:p>
      <w:r>
        <w:rPr>
          <w:rFonts w:ascii="Liberation Sans" w:hAnsi="Liberation Sans" w:eastAsia="Liberation Sans" w:cs="Liberation Sans"/>
        </w:rPr>
        <w:t>I normally retain the core case record for up to six years after the matter is closed. This allows me to maintain an appropriate record of the services and advice provided and respond to subsequent questions, complaints or legal issues if they arise.</w:t>
      </w:r>
    </w:p>
    <w:p>
      <w:pPr>
        <w:pStyle w:val="Heading2"/>
      </w:pPr>
      <w:r>
        <w:rPr>
          <w:rFonts w:ascii="Liberation Sans" w:hAnsi="Liberation Sans" w:eastAsia="Liberation Sans" w:cs="Liberation Sans"/>
        </w:rPr>
        <w:t>Financial and accounting information</w:t>
      </w:r>
    </w:p>
    <w:p>
      <w:r>
        <w:rPr>
          <w:rFonts w:ascii="Liberation Sans" w:hAnsi="Liberation Sans" w:eastAsia="Liberation Sans" w:cs="Liberation Sans"/>
        </w:rPr>
        <w:t>I retain records for the period required by applicable tax and accounting rules.</w:t>
      </w:r>
    </w:p>
    <w:p>
      <w:r>
        <w:rPr>
          <w:rFonts w:ascii="Liberation Sans" w:hAnsi="Liberation Sans" w:eastAsia="Liberation Sans" w:cs="Liberation Sans"/>
        </w:rPr>
        <w:t>This does not mean that every document you send me will automatically be retained for six years. Unnecessary duplicates, temporary documents and information no longer required may be deleted earlier. At the end of the relevant retention period, information will be securely deleted or anonymised where appropriate.</w:t>
      </w:r>
    </w:p>
    <w:p>
      <w:pPr>
        <w:pStyle w:val="Heading1"/>
      </w:pPr>
      <w:r>
        <w:rPr>
          <w:rFonts w:ascii="Liberation Sans" w:hAnsi="Liberation Sans" w:eastAsia="Liberation Sans" w:cs="Liberation Sans"/>
        </w:rPr>
        <w:t>12. Your data protection rights</w:t>
      </w:r>
    </w:p>
    <w:p>
      <w:r>
        <w:rPr>
          <w:rFonts w:ascii="Liberation Sans" w:hAnsi="Liberation Sans" w:eastAsia="Liberation Sans" w:cs="Liberation Sans"/>
        </w:rPr>
        <w:t>Depending on the circumstances, you may have rights to access your personal information; request correction; request deletion; restrict processing; object to certain uses; request transfer of certain information; and withdraw consent where consent is the basis for processing.</w:t>
      </w:r>
    </w:p>
    <w:p>
      <w:r>
        <w:rPr>
          <w:rFonts w:ascii="Liberation Sans" w:hAnsi="Liberation Sans" w:eastAsia="Liberation Sans" w:cs="Liberation Sans"/>
        </w:rPr>
        <w:t>These rights are not absolute and exemptions may apply in some circumstances.</w:t>
      </w:r>
    </w:p>
    <w:p>
      <w:r>
        <w:rPr>
          <w:rFonts w:ascii="Liberation Sans" w:hAnsi="Liberation Sans" w:eastAsia="Liberation Sans" w:cs="Liberation Sans"/>
        </w:rPr>
        <w:t>If you would like to exercise a right, contact sara@sarabiddle.com. I may need to verify your identity before releasing personal information.</w:t>
      </w:r>
    </w:p>
    <w:p>
      <w:pPr>
        <w:pStyle w:val="Heading1"/>
      </w:pPr>
      <w:r>
        <w:rPr>
          <w:rFonts w:ascii="Liberation Sans" w:hAnsi="Liberation Sans" w:eastAsia="Liberation Sans" w:cs="Liberation Sans"/>
        </w:rPr>
        <w:t>13. Automated decision-making</w:t>
      </w:r>
    </w:p>
    <w:p>
      <w:r>
        <w:rPr>
          <w:rFonts w:ascii="Liberation Sans" w:hAnsi="Liberation Sans" w:eastAsia="Liberation Sans" w:cs="Liberation Sans"/>
        </w:rPr>
        <w:t>The Fair Way does not make decisions about clients using solely automated decision-making or profiling that produces legal or similarly significant effects.</w:t>
      </w:r>
    </w:p>
    <w:p>
      <w:pPr>
        <w:pStyle w:val="Heading1"/>
      </w:pPr>
      <w:r>
        <w:rPr>
          <w:rFonts w:ascii="Liberation Sans" w:hAnsi="Liberation Sans" w:eastAsia="Liberation Sans" w:cs="Liberation Sans"/>
        </w:rPr>
        <w:t>14. If something goes wrong</w:t>
      </w:r>
    </w:p>
    <w:p>
      <w:r>
        <w:rPr>
          <w:rFonts w:ascii="Liberation Sans" w:hAnsi="Liberation Sans" w:eastAsia="Liberation Sans" w:cs="Liberation Sans"/>
        </w:rPr>
        <w:t>I take the security of client information seriously. If I become aware of a personal-data breach, I will take appropriate steps to contain and investigate it and will make any notifications required under data protection law.</w:t>
      </w:r>
    </w:p>
    <w:p>
      <w:pPr>
        <w:pStyle w:val="Heading1"/>
      </w:pPr>
      <w:r>
        <w:rPr>
          <w:rFonts w:ascii="Liberation Sans" w:hAnsi="Liberation Sans" w:eastAsia="Liberation Sans" w:cs="Liberation Sans"/>
        </w:rPr>
        <w:t>15. Complaints about your information</w:t>
      </w:r>
    </w:p>
    <w:p>
      <w:r>
        <w:rPr>
          <w:rFonts w:ascii="Liberation Sans" w:hAnsi="Liberation Sans" w:eastAsia="Liberation Sans" w:cs="Liberation Sans"/>
        </w:rPr>
        <w:t>If you have a concern about how I have handled your personal information, please contact me first at sara@sarabiddle.com so that I have the opportunity to investigate it.</w:t>
      </w:r>
    </w:p>
    <w:p>
      <w:r>
        <w:rPr>
          <w:rFonts w:ascii="Liberation Sans" w:hAnsi="Liberation Sans" w:eastAsia="Liberation Sans" w:cs="Liberation Sans"/>
        </w:rPr>
        <w:t>You also have the right to complain to the Information Commissioner's Office (ICO), the UK's data protection regulator. Information about making a complaint is available on the ICO website.</w:t>
      </w:r>
    </w:p>
    <w:p>
      <w:pPr>
        <w:pStyle w:val="Heading1"/>
      </w:pPr>
      <w:r>
        <w:rPr>
          <w:rFonts w:ascii="Liberation Sans" w:hAnsi="Liberation Sans" w:eastAsia="Liberation Sans" w:cs="Liberation Sans"/>
        </w:rPr>
        <w:t>16. Changes to this Privacy Notice</w:t>
      </w:r>
    </w:p>
    <w:p>
      <w:r>
        <w:rPr>
          <w:rFonts w:ascii="Liberation Sans" w:hAnsi="Liberation Sans" w:eastAsia="Liberation Sans" w:cs="Liberation Sans"/>
        </w:rPr>
        <w:t>I may update this Privacy Notice from time to time, for example if The Fair Way changes the services it provides, introduces new technology or if data protection requirements change.</w:t>
      </w:r>
    </w:p>
    <w:p>
      <w:r>
        <w:rPr>
          <w:rFonts w:ascii="Liberation Sans" w:hAnsi="Liberation Sans" w:eastAsia="Liberation Sans" w:cs="Liberation Sans"/>
        </w:rPr>
        <w:t>The current version will be published on The Fair Way website. Where I make a significant change affecting how existing client information is used, I will take reasonable steps to bring that change to the attention of the people affected.</w:t>
      </w:r>
    </w:p>
    <w:p>
      <w:r>
        <w:rPr>
          <w:rFonts w:ascii="Liberation Sans" w:hAnsi="Liberation Sans" w:eastAsia="Liberation Sans" w:cs="Liberation Sans"/>
        </w:rPr>
        <w:t>Last updated: 1 October 2026</w:t>
      </w:r>
    </w:p>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s="Liberation Sans"/>
        <w:color w:val="56606E"/>
        <w:sz w:val="15"/>
      </w:rPr>
      <w:t>Privacy Notice  |  Version 1.0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eastAsia="Liberation Sans" w:cs="Liberation Sans"/>
        <w:b/>
        <w:color w:val="B89248"/>
        <w:sz w:val="16"/>
      </w:rPr>
      <w:t>THE FAIR WAY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Liberation Sans" w:hAnsi="Liberation Sans" w:eastAsia="Liberation Sans" w:cs="Liberation Sans"/>
      <w:color w:val="1F2A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ans" w:hAnsi="Liberation Sans" w:eastAsia="Liberation Sans" w:cs="Liberation Sans"/>
    </w:rPr>
  </w:style>
  <w:style w:type="character" w:customStyle="1" w:styleId="HeaderChar">
    <w:name w:val="Header Char"/>
    <w:basedOn w:val="DefaultParagraphFont"/>
    <w:link w:val="Header"/>
    <w:uiPriority w:val="99"/>
    <w:rsid w:val="00E618BF"/>
    <w:rPr>
      <w:rFonts w:ascii="Liberation Sans" w:hAnsi="Liberation Sans" w:eastAsia="Liberation Sans" w:cs="Liberation San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ans" w:hAnsi="Liberation Sans" w:eastAsia="Liberation Sans" w:cs="Liberation Sans"/>
    </w:rPr>
  </w:style>
  <w:style w:type="character" w:customStyle="1" w:styleId="FooterChar">
    <w:name w:val="Footer Char"/>
    <w:basedOn w:val="DefaultParagraphFont"/>
    <w:link w:val="Footer"/>
    <w:uiPriority w:val="99"/>
    <w:rsid w:val="00E618BF"/>
    <w:rPr>
      <w:rFonts w:ascii="Liberation Sans" w:hAnsi="Liberation Sans" w:eastAsia="Liberation Sans" w:cs="Liberation Sans"/>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Liberation Sans" w:hAnsi="Liberation Sans" w:eastAsia="Liberation Sans" w:cs="Liberation Sans"/>
      <w:b/>
      <w:bCs/>
      <w:color w:val="1F2A37"/>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Liberation Sans" w:hAnsi="Liberation Sans" w:eastAsia="Liberation Sans" w:cs="Liberation Sans"/>
      <w:b/>
      <w:bCs/>
      <w:color w:val="1F2A37"/>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Liberation Sans" w:hAnsi="Liberation Sans" w:eastAsia="Liberation Sans" w:cs="Liberation Sans"/>
      <w:b/>
      <w:bCs/>
      <w:color w:val="B8924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ans" w:hAnsi="Liberation Sans" w:eastAsia="Liberation Sans" w:cs="Liberation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ans" w:hAnsi="Liberation Sans" w:eastAsia="Liberation Sans" w:cs="Liberation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ans" w:hAnsi="Liberation Sans" w:eastAsia="Liberation Sans" w:cs="Liberation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ans" w:hAnsi="Liberation Sans" w:eastAsia="Liberation Sans" w:cs="Liberation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ans" w:hAnsi="Liberation Sans" w:eastAsia="Liberation Sans" w:cs="Liberation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ans" w:hAnsi="Liberation Sans" w:eastAsia="Liberation Sans" w:cs="Liberation Sans"/>
      <w:i/>
      <w:iCs/>
      <w:color w:val="404040" w:themeColor="text1" w:themeTint="BF"/>
      <w:sz w:val="20"/>
      <w:szCs w:val="20"/>
    </w:rPr>
  </w:style>
  <w:style w:type="character" w:default="1" w:styleId="DefaultParagraphFont">
    <w:name w:val="Default Paragraph Font"/>
    <w:uiPriority w:val="1"/>
    <w:semiHidden/>
    <w:unhideWhenUsed/>
    <w:rPr>
      <w:rFonts w:ascii="Liberation Sans" w:hAnsi="Liberation Sans" w:eastAsia="Liberation Sans" w:cs="Liberation Sans"/>
    </w:rPr>
  </w:style>
  <w:style w:type="table" w:default="1" w:styleId="TableNormal">
    <w:name w:val="Normal Table"/>
    <w:uiPriority w:val="99"/>
    <w:semiHidden/>
    <w:unhideWhenUsed/>
    <w:rPr>
      <w:rFonts w:ascii="Liberation Sans" w:hAnsi="Liberation Sans" w:eastAsia="Liberation Sans" w:cs="Liberation Sans"/>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iberation Sans" w:hAnsi="Liberation Sans" w:eastAsia="Liberation Sans" w:cs="Liberation Sa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Liberation Sans" w:hAnsi="Liberation Sans" w:eastAsia="Liberation Sans" w:cs="Liberation San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Liberation Sans" w:hAnsi="Liberation Sans" w:eastAsia="Liberation Sans" w:cs="Liberation Sans"/>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Liberation Sans" w:hAnsi="Liberation Sans" w:eastAsia="Liberation Sans" w:cs="Liberation Sans"/>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Liberation Sans" w:hAnsi="Liberation Sans" w:eastAsia="Liberation Sans" w:cs="Liberation Sans"/>
      <w:b/>
      <w:color w:val="1F2A3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Liberation Sans" w:hAnsi="Liberation Sans" w:eastAsia="Liberation Sans" w:cs="Liberation San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eastAsia="Liberation Sans" w:cs="Liberation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Liberation Sans" w:hAnsi="Liberation Sans" w:eastAsia="Liberation Sans" w:cs="Liberation San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iberation Sans" w:hAnsi="Liberation Sans" w:eastAsia="Liberation Sans" w:cs="Liberation Sans"/>
    </w:rPr>
  </w:style>
  <w:style w:type="paragraph" w:styleId="BodyText">
    <w:name w:val="Body Text"/>
    <w:basedOn w:val="Normal"/>
    <w:link w:val="BodyTextChar"/>
    <w:uiPriority w:val="99"/>
    <w:unhideWhenUsed/>
    <w:rsid w:val="00AA1D8D"/>
    <w:pPr>
      <w:spacing w:after="120"/>
    </w:pPr>
    <w:rPr>
      <w:rFonts w:ascii="Liberation Sans" w:hAnsi="Liberation Sans" w:eastAsia="Liberation Sans" w:cs="Liberation Sans"/>
    </w:rPr>
  </w:style>
  <w:style w:type="character" w:customStyle="1" w:styleId="BodyTextChar">
    <w:name w:val="Body Text Char"/>
    <w:basedOn w:val="DefaultParagraphFont"/>
    <w:link w:val="BodyText"/>
    <w:uiPriority w:val="99"/>
    <w:rsid w:val="00AA1D8D"/>
    <w:rPr>
      <w:rFonts w:ascii="Liberation Sans" w:hAnsi="Liberation Sans" w:eastAsia="Liberation Sans" w:cs="Liberation Sans"/>
    </w:rPr>
  </w:style>
  <w:style w:type="paragraph" w:styleId="BodyText2">
    <w:name w:val="Body Text 2"/>
    <w:basedOn w:val="Normal"/>
    <w:link w:val="BodyText2Char"/>
    <w:uiPriority w:val="99"/>
    <w:unhideWhenUsed/>
    <w:rsid w:val="00AA1D8D"/>
    <w:pPr>
      <w:spacing w:after="120" w:line="480" w:lineRule="auto"/>
    </w:pPr>
    <w:rPr>
      <w:rFonts w:ascii="Liberation Sans" w:hAnsi="Liberation Sans" w:eastAsia="Liberation Sans" w:cs="Liberation Sans"/>
    </w:rPr>
  </w:style>
  <w:style w:type="character" w:customStyle="1" w:styleId="BodyText2Char">
    <w:name w:val="Body Text 2 Char"/>
    <w:basedOn w:val="DefaultParagraphFont"/>
    <w:link w:val="BodyText2"/>
    <w:uiPriority w:val="99"/>
    <w:rsid w:val="00AA1D8D"/>
    <w:rPr>
      <w:rFonts w:ascii="Liberation Sans" w:hAnsi="Liberation Sans" w:eastAsia="Liberation Sans" w:cs="Liberation Sans"/>
    </w:rPr>
  </w:style>
  <w:style w:type="paragraph" w:styleId="BodyText3">
    <w:name w:val="Body Text 3"/>
    <w:basedOn w:val="Normal"/>
    <w:link w:val="BodyText3Char"/>
    <w:uiPriority w:val="99"/>
    <w:unhideWhenUsed/>
    <w:rsid w:val="00AA1D8D"/>
    <w:pPr>
      <w:spacing w:after="120"/>
    </w:pPr>
    <w:rPr>
      <w:rFonts w:ascii="Liberation Sans" w:hAnsi="Liberation Sans" w:eastAsia="Liberation Sans" w:cs="Liberation Sans"/>
      <w:sz w:val="16"/>
      <w:szCs w:val="16"/>
    </w:rPr>
  </w:style>
  <w:style w:type="character" w:customStyle="1" w:styleId="BodyText3Char">
    <w:name w:val="Body Text 3 Char"/>
    <w:basedOn w:val="DefaultParagraphFont"/>
    <w:link w:val="BodyText3"/>
    <w:uiPriority w:val="99"/>
    <w:rsid w:val="00AA1D8D"/>
    <w:rPr>
      <w:rFonts w:ascii="Liberation Sans" w:hAnsi="Liberation Sans" w:eastAsia="Liberation Sans" w:cs="Liberation Sans"/>
      <w:sz w:val="16"/>
      <w:szCs w:val="16"/>
    </w:rPr>
  </w:style>
  <w:style w:type="paragraph" w:styleId="List">
    <w:name w:val="List"/>
    <w:basedOn w:val="Normal"/>
    <w:uiPriority w:val="99"/>
    <w:unhideWhenUsed/>
    <w:rsid w:val="00AA1D8D"/>
    <w:pPr>
      <w:ind w:left="360" w:hanging="360"/>
      <w:contextualSpacing/>
    </w:pPr>
    <w:rPr>
      <w:rFonts w:ascii="Liberation Sans" w:hAnsi="Liberation Sans" w:eastAsia="Liberation Sans" w:cs="Liberation Sans"/>
    </w:rPr>
  </w:style>
  <w:style w:type="paragraph" w:styleId="List2">
    <w:name w:val="List 2"/>
    <w:basedOn w:val="Normal"/>
    <w:uiPriority w:val="99"/>
    <w:unhideWhenUsed/>
    <w:rsid w:val="00326F90"/>
    <w:pPr>
      <w:ind w:left="720" w:hanging="360"/>
      <w:contextualSpacing/>
    </w:pPr>
    <w:rPr>
      <w:rFonts w:ascii="Liberation Sans" w:hAnsi="Liberation Sans" w:eastAsia="Liberation Sans" w:cs="Liberation Sans"/>
    </w:rPr>
  </w:style>
  <w:style w:type="paragraph" w:styleId="List3">
    <w:name w:val="List 3"/>
    <w:basedOn w:val="Normal"/>
    <w:uiPriority w:val="99"/>
    <w:unhideWhenUsed/>
    <w:rsid w:val="00326F90"/>
    <w:pPr>
      <w:ind w:left="1080" w:hanging="360"/>
      <w:contextualSpacing/>
    </w:pPr>
    <w:rPr>
      <w:rFonts w:ascii="Liberation Sans" w:hAnsi="Liberation Sans" w:eastAsia="Liberation Sans" w:cs="Liberation Sans"/>
    </w:rPr>
  </w:style>
  <w:style w:type="paragraph" w:styleId="ListBullet">
    <w:name w:val="List Bullet"/>
    <w:basedOn w:val="Normal"/>
    <w:uiPriority w:val="99"/>
    <w:unhideWhenUsed/>
    <w:rsid w:val="00326F90"/>
    <w:pPr>
      <w:numPr>
        <w:numId w:val="1"/>
      </w:numPr>
      <w:contextualSpacing/>
    </w:pPr>
    <w:rPr>
      <w:rFonts w:ascii="Liberation Sans" w:hAnsi="Liberation Sans" w:eastAsia="Liberation Sans" w:cs="Liberation Sans"/>
    </w:rPr>
  </w:style>
  <w:style w:type="paragraph" w:styleId="ListBullet2">
    <w:name w:val="List Bullet 2"/>
    <w:basedOn w:val="Normal"/>
    <w:uiPriority w:val="99"/>
    <w:unhideWhenUsed/>
    <w:rsid w:val="00326F90"/>
    <w:pPr>
      <w:numPr>
        <w:numId w:val="2"/>
      </w:numPr>
      <w:contextualSpacing/>
    </w:pPr>
    <w:rPr>
      <w:rFonts w:ascii="Liberation Sans" w:hAnsi="Liberation Sans" w:eastAsia="Liberation Sans" w:cs="Liberation Sans"/>
    </w:rPr>
  </w:style>
  <w:style w:type="paragraph" w:styleId="ListBullet3">
    <w:name w:val="List Bullet 3"/>
    <w:basedOn w:val="Normal"/>
    <w:uiPriority w:val="99"/>
    <w:unhideWhenUsed/>
    <w:rsid w:val="00326F90"/>
    <w:pPr>
      <w:numPr>
        <w:numId w:val="3"/>
      </w:numPr>
      <w:contextualSpacing/>
    </w:pPr>
    <w:rPr>
      <w:rFonts w:ascii="Liberation Sans" w:hAnsi="Liberation Sans" w:eastAsia="Liberation Sans" w:cs="Liberation Sans"/>
    </w:rPr>
  </w:style>
  <w:style w:type="paragraph" w:styleId="ListNumber">
    <w:name w:val="List Number"/>
    <w:basedOn w:val="Normal"/>
    <w:uiPriority w:val="99"/>
    <w:unhideWhenUsed/>
    <w:rsid w:val="00326F90"/>
    <w:pPr>
      <w:numPr>
        <w:numId w:val="5"/>
      </w:numPr>
      <w:contextualSpacing/>
    </w:pPr>
    <w:rPr>
      <w:rFonts w:ascii="Liberation Sans" w:hAnsi="Liberation Sans" w:eastAsia="Liberation Sans" w:cs="Liberation Sans"/>
    </w:rPr>
  </w:style>
  <w:style w:type="paragraph" w:styleId="ListNumber2">
    <w:name w:val="List Number 2"/>
    <w:basedOn w:val="Normal"/>
    <w:uiPriority w:val="99"/>
    <w:unhideWhenUsed/>
    <w:rsid w:val="0029639D"/>
    <w:pPr>
      <w:numPr>
        <w:numId w:val="6"/>
      </w:numPr>
      <w:contextualSpacing/>
    </w:pPr>
    <w:rPr>
      <w:rFonts w:ascii="Liberation Sans" w:hAnsi="Liberation Sans" w:eastAsia="Liberation Sans" w:cs="Liberation Sans"/>
    </w:rPr>
  </w:style>
  <w:style w:type="paragraph" w:styleId="ListNumber3">
    <w:name w:val="List Number 3"/>
    <w:basedOn w:val="Normal"/>
    <w:uiPriority w:val="99"/>
    <w:unhideWhenUsed/>
    <w:rsid w:val="0029639D"/>
    <w:pPr>
      <w:numPr>
        <w:numId w:val="7"/>
      </w:numPr>
      <w:contextualSpacing/>
    </w:pPr>
    <w:rPr>
      <w:rFonts w:ascii="Liberation Sans" w:hAnsi="Liberation Sans" w:eastAsia="Liberation Sans" w:cs="Liberation Sans"/>
    </w:rPr>
  </w:style>
  <w:style w:type="paragraph" w:styleId="ListContinue">
    <w:name w:val="List Continue"/>
    <w:basedOn w:val="Normal"/>
    <w:uiPriority w:val="99"/>
    <w:unhideWhenUsed/>
    <w:rsid w:val="0029639D"/>
    <w:pPr>
      <w:spacing w:after="120"/>
      <w:ind w:left="360"/>
      <w:contextualSpacing/>
    </w:pPr>
    <w:rPr>
      <w:rFonts w:ascii="Liberation Sans" w:hAnsi="Liberation Sans" w:eastAsia="Liberation Sans" w:cs="Liberation Sans"/>
    </w:rPr>
  </w:style>
  <w:style w:type="paragraph" w:styleId="ListContinue2">
    <w:name w:val="List Continue 2"/>
    <w:basedOn w:val="Normal"/>
    <w:uiPriority w:val="99"/>
    <w:unhideWhenUsed/>
    <w:rsid w:val="0029639D"/>
    <w:pPr>
      <w:spacing w:after="120"/>
      <w:ind w:left="720"/>
      <w:contextualSpacing/>
    </w:pPr>
    <w:rPr>
      <w:rFonts w:ascii="Liberation Sans" w:hAnsi="Liberation Sans" w:eastAsia="Liberation Sans" w:cs="Liberation Sans"/>
    </w:rPr>
  </w:style>
  <w:style w:type="paragraph" w:styleId="ListContinue3">
    <w:name w:val="List Continue 3"/>
    <w:basedOn w:val="Normal"/>
    <w:uiPriority w:val="99"/>
    <w:unhideWhenUsed/>
    <w:rsid w:val="0029639D"/>
    <w:pPr>
      <w:spacing w:after="120"/>
      <w:ind w:left="1080"/>
      <w:contextualSpacing/>
    </w:pPr>
    <w:rPr>
      <w:rFonts w:ascii="Liberation Sans" w:hAnsi="Liberation Sans" w:eastAsia="Liberation Sans" w:cs="Liberation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ans" w:hAnsi="Liberation Sans" w:eastAsia="Liberation Sans" w:cs="Liberation Sans"/>
      <w:sz w:val="20"/>
      <w:szCs w:val="20"/>
    </w:rPr>
  </w:style>
  <w:style w:type="character" w:customStyle="1" w:styleId="MacroTextChar">
    <w:name w:val="Macro Text Char"/>
    <w:basedOn w:val="DefaultParagraphFont"/>
    <w:link w:val="MacroText"/>
    <w:uiPriority w:val="99"/>
    <w:rsid w:val="0029639D"/>
    <w:rPr>
      <w:rFonts w:ascii="Liberation Sans" w:hAnsi="Liberation Sans" w:eastAsia="Liberation Sans" w:cs="Liberation Sans"/>
      <w:sz w:val="20"/>
      <w:szCs w:val="20"/>
    </w:rPr>
  </w:style>
  <w:style w:type="paragraph" w:styleId="Quote">
    <w:name w:val="Quote"/>
    <w:basedOn w:val="Normal"/>
    <w:next w:val="Normal"/>
    <w:link w:val="QuoteChar"/>
    <w:uiPriority w:val="29"/>
    <w:qFormat/>
    <w:rsid w:val="00FC693F"/>
    <w:rPr>
      <w:rFonts w:ascii="Liberation Sans" w:hAnsi="Liberation Sans" w:eastAsia="Liberation Sans" w:cs="Liberation Sans"/>
      <w:i/>
      <w:iCs/>
      <w:color w:val="000000" w:themeColor="text1"/>
    </w:rPr>
  </w:style>
  <w:style w:type="character" w:customStyle="1" w:styleId="QuoteChar">
    <w:name w:val="Quote Char"/>
    <w:basedOn w:val="DefaultParagraphFont"/>
    <w:link w:val="Quote"/>
    <w:uiPriority w:val="29"/>
    <w:rsid w:val="00FC693F"/>
    <w:rPr>
      <w:rFonts w:ascii="Liberation Sans" w:hAnsi="Liberation Sans" w:eastAsia="Liberation Sans" w:cs="Liberation San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Liberation Sans" w:hAnsi="Liberation Sans" w:eastAsia="Liberation Sans" w:cs="Liberation Sans"/>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Liberation Sans" w:hAnsi="Liberation Sans" w:eastAsia="Liberation Sans" w:cs="Liberation Sans"/>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Liberation Sans" w:hAnsi="Liberation Sans" w:eastAsia="Liberation Sans" w:cs="Liberation Sans"/>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Liberation Sans" w:hAnsi="Liberation Sans" w:eastAsia="Liberation Sans" w:cs="Liberation Sans"/>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Liberation Sans" w:hAnsi="Liberation Sans" w:eastAsia="Liberation Sans" w:cs="Liberation San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Liberation Sans" w:hAnsi="Liberation Sans" w:eastAsia="Liberation Sans" w:cs="Liberation San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ans" w:hAnsi="Liberation Sans" w:eastAsia="Liberation Sans" w:cs="Liberation Sans"/>
      <w:b/>
      <w:bCs/>
      <w:color w:val="4F81BD" w:themeColor="accent1"/>
      <w:sz w:val="18"/>
      <w:szCs w:val="18"/>
    </w:rPr>
  </w:style>
  <w:style w:type="character" w:styleId="Strong">
    <w:name w:val="Strong"/>
    <w:basedOn w:val="DefaultParagraphFont"/>
    <w:uiPriority w:val="22"/>
    <w:qFormat/>
    <w:rsid w:val="00FC693F"/>
    <w:rPr>
      <w:rFonts w:ascii="Liberation Sans" w:hAnsi="Liberation Sans" w:eastAsia="Liberation Sans" w:cs="Liberation Sans"/>
      <w:b/>
      <w:bCs/>
    </w:rPr>
  </w:style>
  <w:style w:type="character" w:styleId="Emphasis">
    <w:name w:val="Emphasis"/>
    <w:basedOn w:val="DefaultParagraphFont"/>
    <w:uiPriority w:val="20"/>
    <w:qFormat/>
    <w:rsid w:val="00FC693F"/>
    <w:rPr>
      <w:rFonts w:ascii="Liberation Sans" w:hAnsi="Liberation Sans" w:eastAsia="Liberation Sans" w:cs="Liberation San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ans" w:hAnsi="Liberation Sans" w:eastAsia="Liberation Sans" w:cs="Liberation Sans"/>
      <w:b/>
      <w:bCs/>
      <w:i/>
      <w:iCs/>
      <w:color w:val="4F81BD" w:themeColor="accent1"/>
    </w:rPr>
  </w:style>
  <w:style w:type="character" w:customStyle="1" w:styleId="IntenseQuoteChar">
    <w:name w:val="Intense Quote Char"/>
    <w:basedOn w:val="DefaultParagraphFont"/>
    <w:link w:val="IntenseQuote"/>
    <w:uiPriority w:val="30"/>
    <w:rsid w:val="00FC693F"/>
    <w:rPr>
      <w:rFonts w:ascii="Liberation Sans" w:hAnsi="Liberation Sans" w:eastAsia="Liberation Sans" w:cs="Liberation Sans"/>
      <w:b/>
      <w:bCs/>
      <w:i/>
      <w:iCs/>
      <w:color w:val="4F81BD" w:themeColor="accent1"/>
    </w:rPr>
  </w:style>
  <w:style w:type="character" w:styleId="SubtleEmphasis">
    <w:name w:val="Subtle Emphasis"/>
    <w:basedOn w:val="DefaultParagraphFont"/>
    <w:uiPriority w:val="19"/>
    <w:qFormat/>
    <w:rsid w:val="00FC693F"/>
    <w:rPr>
      <w:rFonts w:ascii="Liberation Sans" w:hAnsi="Liberation Sans" w:eastAsia="Liberation Sans" w:cs="Liberation Sans"/>
      <w:i/>
      <w:iCs/>
      <w:color w:val="808080" w:themeColor="text1" w:themeTint="7F"/>
    </w:rPr>
  </w:style>
  <w:style w:type="character" w:styleId="IntenseEmphasis">
    <w:name w:val="Intense Emphasis"/>
    <w:basedOn w:val="DefaultParagraphFont"/>
    <w:uiPriority w:val="21"/>
    <w:qFormat/>
    <w:rsid w:val="00FC693F"/>
    <w:rPr>
      <w:rFonts w:ascii="Liberation Sans" w:hAnsi="Liberation Sans" w:eastAsia="Liberation Sans" w:cs="Liberation Sans"/>
      <w:b/>
      <w:bCs/>
      <w:i/>
      <w:iCs/>
      <w:color w:val="4F81BD" w:themeColor="accent1"/>
    </w:rPr>
  </w:style>
  <w:style w:type="character" w:styleId="SubtleReference">
    <w:name w:val="Subtle Reference"/>
    <w:basedOn w:val="DefaultParagraphFont"/>
    <w:uiPriority w:val="31"/>
    <w:qFormat/>
    <w:rsid w:val="00FC693F"/>
    <w:rPr>
      <w:rFonts w:ascii="Liberation Sans" w:hAnsi="Liberation Sans" w:eastAsia="Liberation Sans" w:cs="Liberation Sans"/>
      <w:smallCaps/>
      <w:color w:val="C0504D" w:themeColor="accent2"/>
      <w:u w:val="single"/>
    </w:rPr>
  </w:style>
  <w:style w:type="character" w:styleId="IntenseReference">
    <w:name w:val="Intense Reference"/>
    <w:basedOn w:val="DefaultParagraphFont"/>
    <w:uiPriority w:val="32"/>
    <w:qFormat/>
    <w:rsid w:val="00FC693F"/>
    <w:rPr>
      <w:rFonts w:ascii="Liberation Sans" w:hAnsi="Liberation Sans" w:eastAsia="Liberation Sans" w:cs="Liberation Sans"/>
      <w:b/>
      <w:bCs/>
      <w:smallCaps/>
      <w:color w:val="C0504D" w:themeColor="accent2"/>
      <w:spacing w:val="5"/>
      <w:u w:val="single"/>
    </w:rPr>
  </w:style>
  <w:style w:type="character" w:styleId="BookTitle">
    <w:name w:val="Book Title"/>
    <w:basedOn w:val="DefaultParagraphFont"/>
    <w:uiPriority w:val="33"/>
    <w:qFormat/>
    <w:rsid w:val="00FC693F"/>
    <w:rPr>
      <w:rFonts w:ascii="Liberation Sans" w:hAnsi="Liberation Sans" w:eastAsia="Liberation Sans" w:cs="Liberation Sans"/>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ans" w:hAnsi="Liberation Sans" w:eastAsia="Liberation Sans" w:cs="Liberation Sans"/>
    </w:rPr>
  </w:style>
  <w:style w:type="table" w:styleId="TableGrid">
    <w:name w:val="Table Grid"/>
    <w:basedOn w:val="TableNormal"/>
    <w:uiPriority w:val="59"/>
    <w:rsid w:val="00FC693F"/>
    <w:pPr>
      <w:spacing w:after="0" w:line="240" w:lineRule="auto"/>
    </w:pPr>
    <w:rPr>
      <w:rFonts w:ascii="Liberation Sans" w:hAnsi="Liberation Sans" w:eastAsia="Liberation Sans" w:cs="Liberation San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Liberation Sans" w:hAnsi="Liberation Sans" w:eastAsia="Liberation Sans" w:cs="Liberation San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Liberation Sans" w:hAnsi="Liberation Sans" w:eastAsia="Liberation Sans" w:cs="Liberation San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Liberation Sans" w:hAnsi="Liberation Sans" w:eastAsia="Liberation Sans" w:cs="Liberation San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Liberation Sans" w:hAnsi="Liberation Sans" w:eastAsia="Liberation Sans" w:cs="Liberation San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Liberation Sans" w:hAnsi="Liberation Sans" w:eastAsia="Liberation Sans" w:cs="Liberation San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Liberation Sans" w:hAnsi="Liberation Sans" w:eastAsia="Liberation Sans" w:cs="Liberation San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Liberation Sans" w:hAnsi="Liberation Sans" w:eastAsia="Liberation Sans" w:cs="Liberation San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Liberation Sans" w:hAnsi="Liberation Sans" w:eastAsia="Liberation Sans" w:cs="Liberation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Liberation Sans" w:hAnsi="Liberation Sans" w:eastAsia="Liberation Sans" w:cs="Liberation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Liberation Sans" w:hAnsi="Liberation Sans" w:eastAsia="Liberation Sans" w:cs="Liberation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Liberation Sans" w:hAnsi="Liberation Sans" w:eastAsia="Liberation Sans" w:cs="Liberation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pPr>
    <w:rPr>
      <w:rFonts w:ascii="Liberation Sans" w:hAnsi="Liberation Sans" w:eastAsia="Liberation Sans" w:cs="Liberation Sans"/>
      <w:color w:val="5660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